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D58" w:rsidRPr="007864AE" w:rsidRDefault="00B25D58">
      <w:pPr>
        <w:suppressAutoHyphens/>
        <w:ind w:left="720" w:right="720"/>
        <w:jc w:val="both"/>
        <w:rPr>
          <w:rFonts w:ascii="Times New Roman" w:hAnsi="Times New Roman"/>
          <w:spacing w:val="-3"/>
          <w:sz w:val="28"/>
        </w:rPr>
      </w:pPr>
      <w:r>
        <w:rPr>
          <w:rFonts w:ascii="Times New Roman" w:hAnsi="Times New Roman"/>
          <w:spacing w:val="-3"/>
          <w:sz w:val="28"/>
        </w:rPr>
        <w:tab/>
      </w:r>
      <w:r w:rsidRPr="007864AE">
        <w:rPr>
          <w:rFonts w:ascii="Times New Roman" w:hAnsi="Times New Roman"/>
          <w:spacing w:val="-3"/>
          <w:sz w:val="28"/>
        </w:rPr>
        <w:t xml:space="preserve">The policy of the City Council on the initial zoning of property </w:t>
      </w:r>
      <w:r w:rsidR="005A75AA" w:rsidRPr="00464583">
        <w:rPr>
          <w:rFonts w:ascii="Times New Roman" w:hAnsi="Times New Roman"/>
          <w:spacing w:val="-3"/>
          <w:sz w:val="28"/>
        </w:rPr>
        <w:t>under consideration for annexation</w:t>
      </w:r>
      <w:r w:rsidR="005A75AA" w:rsidRPr="007864AE">
        <w:rPr>
          <w:rFonts w:ascii="Times New Roman" w:hAnsi="Times New Roman"/>
          <w:spacing w:val="-3"/>
          <w:sz w:val="28"/>
        </w:rPr>
        <w:t xml:space="preserve"> </w:t>
      </w:r>
      <w:r w:rsidRPr="007864AE">
        <w:rPr>
          <w:rFonts w:ascii="Times New Roman" w:hAnsi="Times New Roman"/>
          <w:spacing w:val="-3"/>
          <w:sz w:val="28"/>
        </w:rPr>
        <w:t>into the City is as follows:</w:t>
      </w:r>
    </w:p>
    <w:p w:rsidR="00B25D58" w:rsidRPr="007864AE" w:rsidRDefault="00B25D58" w:rsidP="00C14A6D">
      <w:pPr>
        <w:suppressAutoHyphens/>
        <w:ind w:left="1440" w:right="720" w:hanging="720"/>
        <w:jc w:val="both"/>
        <w:rPr>
          <w:rFonts w:ascii="Times New Roman" w:hAnsi="Times New Roman"/>
          <w:spacing w:val="-3"/>
          <w:sz w:val="28"/>
        </w:rPr>
      </w:pPr>
    </w:p>
    <w:p w:rsidR="00B25D58" w:rsidRPr="007864AE" w:rsidRDefault="00B25D58" w:rsidP="00DA7EB0">
      <w:pPr>
        <w:suppressAutoHyphens/>
        <w:ind w:left="1440" w:right="720" w:hanging="720"/>
        <w:rPr>
          <w:rFonts w:ascii="Times New Roman" w:hAnsi="Times New Roman"/>
          <w:spacing w:val="-3"/>
          <w:sz w:val="28"/>
        </w:rPr>
      </w:pPr>
      <w:r w:rsidRPr="007864AE">
        <w:rPr>
          <w:rFonts w:ascii="Times New Roman" w:hAnsi="Times New Roman"/>
          <w:spacing w:val="-3"/>
          <w:sz w:val="28"/>
        </w:rPr>
        <w:t>1.</w:t>
      </w:r>
      <w:r w:rsidRPr="007864AE">
        <w:rPr>
          <w:rFonts w:ascii="Times New Roman" w:hAnsi="Times New Roman"/>
          <w:spacing w:val="-3"/>
          <w:sz w:val="28"/>
        </w:rPr>
        <w:tab/>
        <w:t>The City Planning Department shall notify the property owners by letter that the initial municipal zoning proceedings are beginning.  The letter shall state the existing County zoning of the property, if zoned, and the proposed municipal zoning</w:t>
      </w:r>
      <w:r w:rsidR="007864AE">
        <w:rPr>
          <w:rFonts w:ascii="Times New Roman" w:hAnsi="Times New Roman"/>
          <w:spacing w:val="-3"/>
          <w:sz w:val="28"/>
        </w:rPr>
        <w:t>.</w:t>
      </w:r>
      <w:r w:rsidRPr="007864AE">
        <w:rPr>
          <w:rFonts w:ascii="Times New Roman" w:hAnsi="Times New Roman"/>
          <w:spacing w:val="-3"/>
          <w:sz w:val="28"/>
        </w:rPr>
        <w:t xml:space="preserve"> </w:t>
      </w:r>
      <w:r w:rsidR="005A75AA" w:rsidRPr="007864AE">
        <w:rPr>
          <w:rFonts w:ascii="Times New Roman" w:hAnsi="Times New Roman"/>
          <w:spacing w:val="-3"/>
          <w:sz w:val="28"/>
        </w:rPr>
        <w:t xml:space="preserve"> </w:t>
      </w:r>
      <w:r w:rsidR="00703FFB" w:rsidRPr="00464583">
        <w:rPr>
          <w:rFonts w:ascii="Times New Roman" w:hAnsi="Times New Roman"/>
          <w:spacing w:val="-3"/>
          <w:sz w:val="28"/>
        </w:rPr>
        <w:t>The initial zoning proposal and any r</w:t>
      </w:r>
      <w:r w:rsidR="005A75AA" w:rsidRPr="00464583">
        <w:rPr>
          <w:rFonts w:ascii="Times New Roman" w:hAnsi="Times New Roman"/>
          <w:spacing w:val="-3"/>
          <w:sz w:val="28"/>
        </w:rPr>
        <w:t xml:space="preserve">equests for changes shall be heard by the City </w:t>
      </w:r>
      <w:r w:rsidR="00301D5C" w:rsidRPr="00464583">
        <w:rPr>
          <w:rFonts w:ascii="Times New Roman" w:hAnsi="Times New Roman"/>
          <w:spacing w:val="-3"/>
          <w:sz w:val="28"/>
        </w:rPr>
        <w:t>Zoning</w:t>
      </w:r>
      <w:r w:rsidR="005A75AA" w:rsidRPr="00464583">
        <w:rPr>
          <w:rFonts w:ascii="Times New Roman" w:hAnsi="Times New Roman"/>
          <w:spacing w:val="-3"/>
          <w:sz w:val="28"/>
        </w:rPr>
        <w:t xml:space="preserve"> Commission prior to recommending the zoning map to </w:t>
      </w:r>
      <w:r w:rsidR="00261AD7" w:rsidRPr="00464583">
        <w:rPr>
          <w:rFonts w:ascii="Times New Roman" w:hAnsi="Times New Roman"/>
          <w:spacing w:val="-3"/>
          <w:sz w:val="28"/>
        </w:rPr>
        <w:t>the City Council</w:t>
      </w:r>
      <w:r w:rsidR="005A75AA" w:rsidRPr="00464583">
        <w:rPr>
          <w:rFonts w:ascii="Times New Roman" w:hAnsi="Times New Roman"/>
          <w:spacing w:val="-3"/>
          <w:sz w:val="28"/>
        </w:rPr>
        <w:t>.</w:t>
      </w:r>
    </w:p>
    <w:p w:rsidR="00B25D58" w:rsidRPr="007864AE" w:rsidRDefault="00B25D58" w:rsidP="00DA7EB0">
      <w:pPr>
        <w:suppressAutoHyphens/>
        <w:ind w:left="1440" w:right="720" w:hanging="720"/>
        <w:rPr>
          <w:rFonts w:ascii="Times New Roman" w:hAnsi="Times New Roman"/>
          <w:spacing w:val="-3"/>
          <w:sz w:val="28"/>
        </w:rPr>
      </w:pPr>
    </w:p>
    <w:p w:rsidR="007864AE" w:rsidRPr="00464583" w:rsidRDefault="005A75AA" w:rsidP="00DA7EB0">
      <w:pPr>
        <w:suppressAutoHyphens/>
        <w:ind w:left="1440" w:right="720" w:hanging="720"/>
        <w:rPr>
          <w:rFonts w:ascii="Times New Roman" w:hAnsi="Times New Roman"/>
          <w:spacing w:val="-3"/>
          <w:sz w:val="28"/>
        </w:rPr>
      </w:pPr>
      <w:r w:rsidRPr="00464583">
        <w:rPr>
          <w:rFonts w:ascii="Times New Roman" w:hAnsi="Times New Roman"/>
          <w:spacing w:val="-3"/>
          <w:sz w:val="28"/>
        </w:rPr>
        <w:t>2.</w:t>
      </w:r>
      <w:r w:rsidRPr="00464583">
        <w:rPr>
          <w:rFonts w:ascii="Times New Roman" w:hAnsi="Times New Roman"/>
          <w:spacing w:val="-3"/>
          <w:sz w:val="28"/>
        </w:rPr>
        <w:tab/>
        <w:t>For voluntary annexation requests, the City Clerk shall schedule the initial zoning public hearing</w:t>
      </w:r>
      <w:r w:rsidR="007864AE" w:rsidRPr="00464583">
        <w:rPr>
          <w:rFonts w:ascii="Times New Roman" w:hAnsi="Times New Roman"/>
          <w:spacing w:val="-3"/>
          <w:sz w:val="28"/>
        </w:rPr>
        <w:t xml:space="preserve"> before the City Council</w:t>
      </w:r>
      <w:r w:rsidRPr="00464583">
        <w:rPr>
          <w:rFonts w:ascii="Times New Roman" w:hAnsi="Times New Roman"/>
          <w:spacing w:val="-3"/>
          <w:sz w:val="28"/>
        </w:rPr>
        <w:t xml:space="preserve"> immediately prior to the public hearing</w:t>
      </w:r>
      <w:r w:rsidR="00301D5C" w:rsidRPr="00464583">
        <w:rPr>
          <w:rFonts w:ascii="Times New Roman" w:hAnsi="Times New Roman"/>
          <w:spacing w:val="-3"/>
          <w:sz w:val="28"/>
        </w:rPr>
        <w:t xml:space="preserve"> on the annexation petition</w:t>
      </w:r>
      <w:r w:rsidR="007864AE" w:rsidRPr="00464583">
        <w:rPr>
          <w:rFonts w:ascii="Times New Roman" w:hAnsi="Times New Roman"/>
          <w:spacing w:val="-3"/>
          <w:sz w:val="28"/>
        </w:rPr>
        <w:t>.  Council’s action on that zoning will be preliminary as the property in question has not yet been annexed and, therefore, is not within the City’s authority to zone.</w:t>
      </w:r>
    </w:p>
    <w:p w:rsidR="007864AE" w:rsidRPr="00464583" w:rsidRDefault="007864AE" w:rsidP="00DA7EB0">
      <w:pPr>
        <w:suppressAutoHyphens/>
        <w:ind w:left="1440" w:right="720" w:hanging="720"/>
        <w:rPr>
          <w:rFonts w:ascii="Times New Roman" w:hAnsi="Times New Roman"/>
          <w:spacing w:val="-3"/>
          <w:sz w:val="28"/>
        </w:rPr>
      </w:pPr>
    </w:p>
    <w:p w:rsidR="005A75AA" w:rsidRPr="00464583" w:rsidRDefault="007864AE" w:rsidP="00DA7EB0">
      <w:pPr>
        <w:suppressAutoHyphens/>
        <w:ind w:left="1440" w:right="720" w:hanging="720"/>
        <w:rPr>
          <w:rFonts w:ascii="Times New Roman" w:hAnsi="Times New Roman"/>
          <w:spacing w:val="-3"/>
          <w:sz w:val="28"/>
        </w:rPr>
      </w:pPr>
      <w:r w:rsidRPr="00464583">
        <w:rPr>
          <w:rFonts w:ascii="Times New Roman" w:hAnsi="Times New Roman"/>
          <w:spacing w:val="-3"/>
          <w:sz w:val="28"/>
        </w:rPr>
        <w:t>3.</w:t>
      </w:r>
      <w:r w:rsidRPr="00464583">
        <w:rPr>
          <w:rFonts w:ascii="Times New Roman" w:hAnsi="Times New Roman"/>
          <w:spacing w:val="-3"/>
          <w:sz w:val="28"/>
        </w:rPr>
        <w:tab/>
        <w:t xml:space="preserve">The annexation petitioner may </w:t>
      </w:r>
      <w:r w:rsidR="00650CA1" w:rsidRPr="00464583">
        <w:rPr>
          <w:rFonts w:ascii="Times New Roman" w:hAnsi="Times New Roman"/>
          <w:spacing w:val="-3"/>
          <w:sz w:val="28"/>
        </w:rPr>
        <w:t xml:space="preserve">request to withdraw their petition to annex after the preliminary initial zoning action and prior to action on that petition.  </w:t>
      </w:r>
      <w:r w:rsidR="00FC569E" w:rsidRPr="00464583">
        <w:rPr>
          <w:rFonts w:ascii="Times New Roman" w:hAnsi="Times New Roman"/>
          <w:spacing w:val="-3"/>
          <w:sz w:val="28"/>
        </w:rPr>
        <w:t>If such a request is timely made by all petitioners, the Council will table action on the annexation petition indefinitely.</w:t>
      </w:r>
    </w:p>
    <w:p w:rsidR="00FC569E" w:rsidRPr="00464583" w:rsidRDefault="00FC569E" w:rsidP="00DA7EB0">
      <w:pPr>
        <w:suppressAutoHyphens/>
        <w:ind w:left="1440" w:right="720" w:hanging="720"/>
        <w:rPr>
          <w:rFonts w:ascii="Times New Roman" w:hAnsi="Times New Roman"/>
          <w:spacing w:val="-3"/>
          <w:sz w:val="28"/>
        </w:rPr>
      </w:pPr>
    </w:p>
    <w:p w:rsidR="00FC569E" w:rsidRPr="00464583" w:rsidRDefault="00FC569E" w:rsidP="00DA7EB0">
      <w:pPr>
        <w:suppressAutoHyphens/>
        <w:ind w:left="1440" w:right="720" w:hanging="720"/>
        <w:rPr>
          <w:rFonts w:ascii="Times New Roman" w:hAnsi="Times New Roman"/>
          <w:spacing w:val="-3"/>
          <w:sz w:val="28"/>
        </w:rPr>
      </w:pPr>
      <w:r w:rsidRPr="00464583">
        <w:rPr>
          <w:rFonts w:ascii="Times New Roman" w:hAnsi="Times New Roman"/>
          <w:spacing w:val="-3"/>
          <w:sz w:val="28"/>
        </w:rPr>
        <w:t>4.</w:t>
      </w:r>
      <w:r w:rsidRPr="00464583">
        <w:rPr>
          <w:rFonts w:ascii="Times New Roman" w:hAnsi="Times New Roman"/>
          <w:spacing w:val="-3"/>
          <w:sz w:val="28"/>
        </w:rPr>
        <w:tab/>
        <w:t>The final initial zoning action will be included in the motion to approve the petition for annexation.</w:t>
      </w:r>
    </w:p>
    <w:sectPr w:rsidR="00FC569E" w:rsidRPr="00464583" w:rsidSect="00C45E13">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720" w:right="1080" w:bottom="720" w:left="108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DFF" w:rsidRDefault="00C24DFF">
      <w:pPr>
        <w:spacing w:line="20" w:lineRule="exact"/>
      </w:pPr>
    </w:p>
  </w:endnote>
  <w:endnote w:type="continuationSeparator" w:id="0">
    <w:p w:rsidR="00C24DFF" w:rsidRDefault="00C24DFF">
      <w:r>
        <w:t xml:space="preserve"> </w:t>
      </w:r>
    </w:p>
  </w:endnote>
  <w:endnote w:type="continuationNotice" w:id="1">
    <w:p w:rsidR="00C24DFF" w:rsidRDefault="00C24DF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CF" w:rsidRDefault="006653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CF" w:rsidRDefault="006653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CF" w:rsidRDefault="006653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DFF" w:rsidRDefault="00C24DFF">
      <w:r>
        <w:separator/>
      </w:r>
    </w:p>
  </w:footnote>
  <w:footnote w:type="continuationSeparator" w:id="0">
    <w:p w:rsidR="00C24DFF" w:rsidRDefault="00C24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CF" w:rsidRDefault="006653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18" w:space="0" w:color="auto"/>
        <w:left w:val="single" w:sz="18" w:space="0" w:color="auto"/>
        <w:bottom w:val="single" w:sz="18" w:space="0" w:color="auto"/>
        <w:right w:val="single" w:sz="18" w:space="0" w:color="auto"/>
        <w:insideV w:val="single" w:sz="18" w:space="0" w:color="auto"/>
      </w:tblBorders>
      <w:tblLayout w:type="fixed"/>
      <w:tblLook w:val="0000" w:firstRow="0" w:lastRow="0" w:firstColumn="0" w:lastColumn="0" w:noHBand="0" w:noVBand="0"/>
    </w:tblPr>
    <w:tblGrid>
      <w:gridCol w:w="4770"/>
      <w:gridCol w:w="1170"/>
      <w:gridCol w:w="1260"/>
      <w:gridCol w:w="1260"/>
      <w:gridCol w:w="1616"/>
    </w:tblGrid>
    <w:tr w:rsidR="00B25D58">
      <w:tc>
        <w:tcPr>
          <w:tcW w:w="4770" w:type="dxa"/>
          <w:shd w:val="pct10" w:color="auto" w:fill="auto"/>
        </w:tcPr>
        <w:p w:rsidR="00B25D58" w:rsidRDefault="00B25D58">
          <w:pPr>
            <w:suppressAutoHyphens/>
            <w:ind w:hanging="18"/>
            <w:jc w:val="both"/>
            <w:rPr>
              <w:rFonts w:ascii="Times New Roman" w:hAnsi="Times New Roman"/>
              <w:b/>
              <w:spacing w:val="-3"/>
            </w:rPr>
          </w:pPr>
          <w:r>
            <w:rPr>
              <w:rFonts w:ascii="Times New Roman" w:hAnsi="Times New Roman"/>
              <w:b/>
              <w:spacing w:val="-3"/>
            </w:rPr>
            <w:t>SUBJECT - ZONING</w:t>
          </w:r>
        </w:p>
        <w:p w:rsidR="00B25D58" w:rsidRDefault="00B25D58">
          <w:pPr>
            <w:suppressAutoHyphens/>
            <w:ind w:left="540"/>
            <w:rPr>
              <w:rFonts w:ascii="Times New Roman" w:hAnsi="Times New Roman"/>
              <w:spacing w:val="-3"/>
            </w:rPr>
          </w:pPr>
          <w:r>
            <w:rPr>
              <w:rFonts w:ascii="Times New Roman" w:hAnsi="Times New Roman"/>
              <w:b/>
              <w:spacing w:val="-3"/>
            </w:rPr>
            <w:t>Initial Zoning After Annexation</w:t>
          </w:r>
        </w:p>
      </w:tc>
      <w:tc>
        <w:tcPr>
          <w:tcW w:w="1170" w:type="dxa"/>
          <w:shd w:val="pct10" w:color="auto" w:fill="auto"/>
        </w:tcPr>
        <w:p w:rsidR="00B25D58" w:rsidRDefault="00B25D58">
          <w:pPr>
            <w:suppressAutoHyphens/>
            <w:jc w:val="center"/>
            <w:rPr>
              <w:rFonts w:ascii="Times New Roman" w:hAnsi="Times New Roman"/>
              <w:b/>
              <w:spacing w:val="-3"/>
            </w:rPr>
          </w:pPr>
          <w:r>
            <w:rPr>
              <w:rFonts w:ascii="Times New Roman" w:hAnsi="Times New Roman"/>
              <w:b/>
              <w:spacing w:val="-3"/>
            </w:rPr>
            <w:t>Number</w:t>
          </w:r>
        </w:p>
        <w:p w:rsidR="00B25D58" w:rsidRDefault="00B25D58">
          <w:pPr>
            <w:suppressAutoHyphens/>
            <w:jc w:val="center"/>
            <w:rPr>
              <w:rFonts w:ascii="Times New Roman" w:hAnsi="Times New Roman"/>
              <w:spacing w:val="-3"/>
            </w:rPr>
          </w:pPr>
          <w:r>
            <w:rPr>
              <w:rFonts w:ascii="Times New Roman" w:hAnsi="Times New Roman"/>
              <w:b/>
              <w:spacing w:val="-3"/>
              <w:sz w:val="40"/>
            </w:rPr>
            <w:t>165.1</w:t>
          </w:r>
        </w:p>
      </w:tc>
      <w:tc>
        <w:tcPr>
          <w:tcW w:w="1260" w:type="dxa"/>
          <w:shd w:val="pct10" w:color="auto" w:fill="auto"/>
        </w:tcPr>
        <w:p w:rsidR="00B25D58" w:rsidRDefault="00B25D58">
          <w:pPr>
            <w:suppressAutoHyphens/>
            <w:jc w:val="center"/>
            <w:rPr>
              <w:rFonts w:ascii="Times New Roman" w:hAnsi="Times New Roman"/>
              <w:b/>
              <w:spacing w:val="-3"/>
            </w:rPr>
          </w:pPr>
          <w:r>
            <w:rPr>
              <w:rFonts w:ascii="Times New Roman" w:hAnsi="Times New Roman"/>
              <w:b/>
              <w:spacing w:val="-3"/>
            </w:rPr>
            <w:t>Revised</w:t>
          </w:r>
        </w:p>
        <w:p w:rsidR="006653CF" w:rsidRDefault="006653CF">
          <w:pPr>
            <w:suppressAutoHyphens/>
            <w:jc w:val="center"/>
            <w:rPr>
              <w:rFonts w:ascii="Times New Roman" w:hAnsi="Times New Roman"/>
              <w:b/>
              <w:spacing w:val="-3"/>
            </w:rPr>
          </w:pPr>
          <w:r>
            <w:rPr>
              <w:rFonts w:ascii="Times New Roman" w:hAnsi="Times New Roman"/>
              <w:b/>
              <w:spacing w:val="-3"/>
            </w:rPr>
            <w:t>11-5-90</w:t>
          </w:r>
        </w:p>
        <w:p w:rsidR="00B25D58" w:rsidRDefault="007A6439">
          <w:pPr>
            <w:suppressAutoHyphens/>
            <w:jc w:val="center"/>
            <w:rPr>
              <w:rFonts w:ascii="Times New Roman" w:hAnsi="Times New Roman"/>
              <w:b/>
              <w:spacing w:val="-3"/>
            </w:rPr>
          </w:pPr>
          <w:r>
            <w:rPr>
              <w:rFonts w:ascii="Times New Roman" w:hAnsi="Times New Roman"/>
              <w:b/>
              <w:spacing w:val="-3"/>
            </w:rPr>
            <w:t>2</w:t>
          </w:r>
          <w:r w:rsidR="006653CF">
            <w:rPr>
              <w:rFonts w:ascii="Times New Roman" w:hAnsi="Times New Roman"/>
              <w:b/>
              <w:spacing w:val="-3"/>
            </w:rPr>
            <w:t>-</w:t>
          </w:r>
          <w:r>
            <w:rPr>
              <w:rFonts w:ascii="Times New Roman" w:hAnsi="Times New Roman"/>
              <w:b/>
              <w:spacing w:val="-3"/>
            </w:rPr>
            <w:t>13</w:t>
          </w:r>
          <w:r w:rsidR="006653CF">
            <w:rPr>
              <w:rFonts w:ascii="Times New Roman" w:hAnsi="Times New Roman"/>
              <w:b/>
              <w:spacing w:val="-3"/>
            </w:rPr>
            <w:t>-</w:t>
          </w:r>
          <w:r>
            <w:rPr>
              <w:rFonts w:ascii="Times New Roman" w:hAnsi="Times New Roman"/>
              <w:b/>
              <w:spacing w:val="-3"/>
            </w:rPr>
            <w:t>12</w:t>
          </w:r>
        </w:p>
        <w:p w:rsidR="005A75AA" w:rsidRDefault="005A75AA">
          <w:pPr>
            <w:suppressAutoHyphens/>
            <w:jc w:val="center"/>
            <w:rPr>
              <w:rFonts w:ascii="Times New Roman" w:hAnsi="Times New Roman"/>
              <w:spacing w:val="-3"/>
            </w:rPr>
          </w:pPr>
          <w:bookmarkStart w:id="0" w:name="_GoBack"/>
          <w:bookmarkEnd w:id="0"/>
        </w:p>
      </w:tc>
      <w:tc>
        <w:tcPr>
          <w:tcW w:w="1260" w:type="dxa"/>
          <w:shd w:val="pct10" w:color="auto" w:fill="auto"/>
        </w:tcPr>
        <w:p w:rsidR="00B25D58" w:rsidRDefault="00B25D58">
          <w:pPr>
            <w:suppressAutoHyphens/>
            <w:jc w:val="center"/>
            <w:rPr>
              <w:rFonts w:ascii="Times New Roman" w:hAnsi="Times New Roman"/>
              <w:b/>
              <w:spacing w:val="-3"/>
            </w:rPr>
          </w:pPr>
          <w:r>
            <w:rPr>
              <w:rFonts w:ascii="Times New Roman" w:hAnsi="Times New Roman"/>
              <w:b/>
              <w:spacing w:val="-3"/>
            </w:rPr>
            <w:t>Effective</w:t>
          </w:r>
        </w:p>
        <w:p w:rsidR="00B25D58" w:rsidRDefault="00B25D58">
          <w:pPr>
            <w:suppressAutoHyphens/>
            <w:jc w:val="center"/>
            <w:rPr>
              <w:rFonts w:ascii="Times New Roman" w:hAnsi="Times New Roman"/>
              <w:b/>
              <w:spacing w:val="-3"/>
            </w:rPr>
          </w:pPr>
          <w:r>
            <w:rPr>
              <w:rFonts w:ascii="Times New Roman" w:hAnsi="Times New Roman"/>
              <w:b/>
              <w:spacing w:val="-3"/>
            </w:rPr>
            <w:t>Date</w:t>
          </w:r>
        </w:p>
        <w:p w:rsidR="00B25D58" w:rsidRDefault="007A6439" w:rsidP="006653CF">
          <w:pPr>
            <w:suppressAutoHyphens/>
            <w:jc w:val="center"/>
            <w:rPr>
              <w:rFonts w:ascii="Times New Roman" w:hAnsi="Times New Roman"/>
              <w:spacing w:val="-3"/>
            </w:rPr>
          </w:pPr>
          <w:r>
            <w:rPr>
              <w:rFonts w:ascii="Times New Roman" w:hAnsi="Times New Roman"/>
              <w:spacing w:val="-3"/>
            </w:rPr>
            <w:t>8</w:t>
          </w:r>
          <w:r w:rsidR="006653CF">
            <w:rPr>
              <w:rFonts w:ascii="Times New Roman" w:hAnsi="Times New Roman"/>
              <w:spacing w:val="-3"/>
            </w:rPr>
            <w:t>-6-</w:t>
          </w:r>
          <w:r>
            <w:rPr>
              <w:rFonts w:ascii="Times New Roman" w:hAnsi="Times New Roman"/>
              <w:spacing w:val="-3"/>
            </w:rPr>
            <w:t>84</w:t>
          </w:r>
        </w:p>
      </w:tc>
      <w:tc>
        <w:tcPr>
          <w:tcW w:w="1616" w:type="dxa"/>
          <w:shd w:val="pct10" w:color="auto" w:fill="auto"/>
        </w:tcPr>
        <w:p w:rsidR="00B25D58" w:rsidRDefault="00B25D58">
          <w:pPr>
            <w:suppressAutoHyphens/>
            <w:jc w:val="both"/>
            <w:rPr>
              <w:rFonts w:ascii="Times New Roman" w:hAnsi="Times New Roman"/>
              <w:spacing w:val="-3"/>
            </w:rPr>
          </w:pPr>
          <w:r>
            <w:rPr>
              <w:rFonts w:ascii="Times New Roman" w:hAnsi="Times New Roman"/>
              <w:b/>
              <w:spacing w:val="-3"/>
            </w:rPr>
            <w:t xml:space="preserve">Page </w:t>
          </w:r>
          <w:r w:rsidR="00C45E13">
            <w:rPr>
              <w:rStyle w:val="PageNumber"/>
              <w:rFonts w:ascii="Times New Roman" w:hAnsi="Times New Roman"/>
              <w:b/>
            </w:rPr>
            <w:fldChar w:fldCharType="begin"/>
          </w:r>
          <w:r>
            <w:rPr>
              <w:rStyle w:val="PageNumber"/>
              <w:rFonts w:ascii="Times New Roman" w:hAnsi="Times New Roman"/>
              <w:b/>
            </w:rPr>
            <w:instrText xml:space="preserve"> PAGE </w:instrText>
          </w:r>
          <w:r w:rsidR="00C45E13">
            <w:rPr>
              <w:rStyle w:val="PageNumber"/>
              <w:rFonts w:ascii="Times New Roman" w:hAnsi="Times New Roman"/>
              <w:b/>
            </w:rPr>
            <w:fldChar w:fldCharType="separate"/>
          </w:r>
          <w:r w:rsidR="006653CF">
            <w:rPr>
              <w:rStyle w:val="PageNumber"/>
              <w:rFonts w:ascii="Times New Roman" w:hAnsi="Times New Roman"/>
              <w:b/>
              <w:noProof/>
            </w:rPr>
            <w:t>1</w:t>
          </w:r>
          <w:r w:rsidR="00C45E13">
            <w:rPr>
              <w:rStyle w:val="PageNumber"/>
              <w:rFonts w:ascii="Times New Roman" w:hAnsi="Times New Roman"/>
              <w:b/>
            </w:rPr>
            <w:fldChar w:fldCharType="end"/>
          </w:r>
          <w:r>
            <w:rPr>
              <w:rFonts w:ascii="Times New Roman" w:hAnsi="Times New Roman"/>
              <w:b/>
              <w:spacing w:val="-3"/>
            </w:rPr>
            <w:t xml:space="preserve"> of 1</w:t>
          </w:r>
        </w:p>
      </w:tc>
    </w:tr>
  </w:tbl>
  <w:p w:rsidR="00B25D58" w:rsidRDefault="00B25D58">
    <w:pPr>
      <w:pStyle w:val="Head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CF" w:rsidRDefault="006653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hyphenationZone w:val="1096"/>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2"/>
  </w:compat>
  <w:docVars>
    <w:docVar w:name="dgnword-docGUID" w:val="{D917F1F0-1160-4CEA-A790-E9453CFCA732}"/>
    <w:docVar w:name="dgnword-eventsink" w:val="84609336"/>
  </w:docVars>
  <w:rsids>
    <w:rsidRoot w:val="00CB564E"/>
    <w:rsid w:val="00261AD7"/>
    <w:rsid w:val="00301D5C"/>
    <w:rsid w:val="003748AA"/>
    <w:rsid w:val="00464583"/>
    <w:rsid w:val="005A75AA"/>
    <w:rsid w:val="00650CA1"/>
    <w:rsid w:val="006653CF"/>
    <w:rsid w:val="00703FFB"/>
    <w:rsid w:val="007864AE"/>
    <w:rsid w:val="007A6439"/>
    <w:rsid w:val="00A45AE1"/>
    <w:rsid w:val="00AE0918"/>
    <w:rsid w:val="00B25D58"/>
    <w:rsid w:val="00C14A6D"/>
    <w:rsid w:val="00C24DFF"/>
    <w:rsid w:val="00C45E13"/>
    <w:rsid w:val="00CB564E"/>
    <w:rsid w:val="00D8458D"/>
    <w:rsid w:val="00DA7EB0"/>
    <w:rsid w:val="00FC5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E13"/>
    <w:pPr>
      <w:overflowPunct w:val="0"/>
      <w:autoSpaceDE w:val="0"/>
      <w:autoSpaceDN w:val="0"/>
      <w:adjustRightInd w:val="0"/>
      <w:textAlignment w:val="baseline"/>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45E13"/>
  </w:style>
  <w:style w:type="character" w:styleId="EndnoteReference">
    <w:name w:val="endnote reference"/>
    <w:basedOn w:val="DefaultParagraphFont"/>
    <w:semiHidden/>
    <w:rsid w:val="00C45E13"/>
    <w:rPr>
      <w:vertAlign w:val="superscript"/>
    </w:rPr>
  </w:style>
  <w:style w:type="paragraph" w:styleId="FootnoteText">
    <w:name w:val="footnote text"/>
    <w:basedOn w:val="Normal"/>
    <w:semiHidden/>
    <w:rsid w:val="00C45E13"/>
  </w:style>
  <w:style w:type="character" w:styleId="FootnoteReference">
    <w:name w:val="footnote reference"/>
    <w:basedOn w:val="DefaultParagraphFont"/>
    <w:semiHidden/>
    <w:rsid w:val="00C45E13"/>
    <w:rPr>
      <w:vertAlign w:val="superscript"/>
    </w:rPr>
  </w:style>
  <w:style w:type="paragraph" w:styleId="TOC1">
    <w:name w:val="toc 1"/>
    <w:basedOn w:val="Normal"/>
    <w:next w:val="Normal"/>
    <w:semiHidden/>
    <w:rsid w:val="00C45E13"/>
    <w:pPr>
      <w:tabs>
        <w:tab w:val="right" w:leader="dot" w:pos="9360"/>
      </w:tabs>
      <w:suppressAutoHyphens/>
      <w:spacing w:before="480"/>
      <w:ind w:left="720" w:right="720" w:hanging="720"/>
    </w:pPr>
  </w:style>
  <w:style w:type="paragraph" w:styleId="TOC2">
    <w:name w:val="toc 2"/>
    <w:basedOn w:val="Normal"/>
    <w:next w:val="Normal"/>
    <w:semiHidden/>
    <w:rsid w:val="00C45E13"/>
    <w:pPr>
      <w:tabs>
        <w:tab w:val="right" w:leader="dot" w:pos="9360"/>
      </w:tabs>
      <w:suppressAutoHyphens/>
      <w:ind w:left="1440" w:right="720" w:hanging="720"/>
    </w:pPr>
  </w:style>
  <w:style w:type="paragraph" w:styleId="TOC3">
    <w:name w:val="toc 3"/>
    <w:basedOn w:val="Normal"/>
    <w:next w:val="Normal"/>
    <w:semiHidden/>
    <w:rsid w:val="00C45E13"/>
    <w:pPr>
      <w:tabs>
        <w:tab w:val="right" w:leader="dot" w:pos="9360"/>
      </w:tabs>
      <w:suppressAutoHyphens/>
      <w:ind w:left="2160" w:right="720" w:hanging="720"/>
    </w:pPr>
  </w:style>
  <w:style w:type="paragraph" w:styleId="TOC4">
    <w:name w:val="toc 4"/>
    <w:basedOn w:val="Normal"/>
    <w:next w:val="Normal"/>
    <w:semiHidden/>
    <w:rsid w:val="00C45E13"/>
    <w:pPr>
      <w:tabs>
        <w:tab w:val="right" w:leader="dot" w:pos="9360"/>
      </w:tabs>
      <w:suppressAutoHyphens/>
      <w:ind w:left="2880" w:right="720" w:hanging="720"/>
    </w:pPr>
  </w:style>
  <w:style w:type="paragraph" w:styleId="TOC5">
    <w:name w:val="toc 5"/>
    <w:basedOn w:val="Normal"/>
    <w:next w:val="Normal"/>
    <w:semiHidden/>
    <w:rsid w:val="00C45E13"/>
    <w:pPr>
      <w:tabs>
        <w:tab w:val="right" w:leader="dot" w:pos="9360"/>
      </w:tabs>
      <w:suppressAutoHyphens/>
      <w:ind w:left="3600" w:right="720" w:hanging="720"/>
    </w:pPr>
  </w:style>
  <w:style w:type="paragraph" w:styleId="TOC6">
    <w:name w:val="toc 6"/>
    <w:basedOn w:val="Normal"/>
    <w:next w:val="Normal"/>
    <w:semiHidden/>
    <w:rsid w:val="00C45E13"/>
    <w:pPr>
      <w:tabs>
        <w:tab w:val="right" w:pos="9360"/>
      </w:tabs>
      <w:suppressAutoHyphens/>
      <w:ind w:left="720" w:hanging="720"/>
    </w:pPr>
  </w:style>
  <w:style w:type="paragraph" w:styleId="TOC7">
    <w:name w:val="toc 7"/>
    <w:basedOn w:val="Normal"/>
    <w:next w:val="Normal"/>
    <w:semiHidden/>
    <w:rsid w:val="00C45E13"/>
    <w:pPr>
      <w:suppressAutoHyphens/>
      <w:ind w:left="720" w:hanging="720"/>
    </w:pPr>
  </w:style>
  <w:style w:type="paragraph" w:styleId="TOC8">
    <w:name w:val="toc 8"/>
    <w:basedOn w:val="Normal"/>
    <w:next w:val="Normal"/>
    <w:semiHidden/>
    <w:rsid w:val="00C45E13"/>
    <w:pPr>
      <w:tabs>
        <w:tab w:val="right" w:pos="9360"/>
      </w:tabs>
      <w:suppressAutoHyphens/>
      <w:ind w:left="720" w:hanging="720"/>
    </w:pPr>
  </w:style>
  <w:style w:type="paragraph" w:styleId="TOC9">
    <w:name w:val="toc 9"/>
    <w:basedOn w:val="Normal"/>
    <w:next w:val="Normal"/>
    <w:semiHidden/>
    <w:rsid w:val="00C45E13"/>
    <w:pPr>
      <w:tabs>
        <w:tab w:val="right" w:leader="dot" w:pos="9360"/>
      </w:tabs>
      <w:suppressAutoHyphens/>
      <w:ind w:left="720" w:hanging="720"/>
    </w:pPr>
  </w:style>
  <w:style w:type="paragraph" w:styleId="Index1">
    <w:name w:val="index 1"/>
    <w:basedOn w:val="Normal"/>
    <w:next w:val="Normal"/>
    <w:semiHidden/>
    <w:rsid w:val="00C45E13"/>
    <w:pPr>
      <w:tabs>
        <w:tab w:val="right" w:leader="dot" w:pos="9360"/>
      </w:tabs>
      <w:suppressAutoHyphens/>
      <w:ind w:left="1440" w:right="720" w:hanging="1440"/>
    </w:pPr>
  </w:style>
  <w:style w:type="paragraph" w:styleId="Index2">
    <w:name w:val="index 2"/>
    <w:basedOn w:val="Normal"/>
    <w:next w:val="Normal"/>
    <w:semiHidden/>
    <w:rsid w:val="00C45E13"/>
    <w:pPr>
      <w:tabs>
        <w:tab w:val="right" w:leader="dot" w:pos="9360"/>
      </w:tabs>
      <w:suppressAutoHyphens/>
      <w:ind w:left="1440" w:right="720" w:hanging="720"/>
    </w:pPr>
  </w:style>
  <w:style w:type="paragraph" w:styleId="TOAHeading">
    <w:name w:val="toa heading"/>
    <w:basedOn w:val="Normal"/>
    <w:next w:val="Normal"/>
    <w:semiHidden/>
    <w:rsid w:val="00C45E13"/>
    <w:pPr>
      <w:tabs>
        <w:tab w:val="right" w:pos="9360"/>
      </w:tabs>
      <w:suppressAutoHyphens/>
    </w:pPr>
  </w:style>
  <w:style w:type="paragraph" w:styleId="Caption">
    <w:name w:val="caption"/>
    <w:basedOn w:val="Normal"/>
    <w:next w:val="Normal"/>
    <w:qFormat/>
    <w:rsid w:val="00C45E13"/>
  </w:style>
  <w:style w:type="character" w:customStyle="1" w:styleId="EquationCaption">
    <w:name w:val="_Equation Caption"/>
    <w:rsid w:val="00C45E13"/>
  </w:style>
  <w:style w:type="paragraph" w:styleId="Header">
    <w:name w:val="header"/>
    <w:basedOn w:val="Normal"/>
    <w:semiHidden/>
    <w:rsid w:val="00C45E13"/>
    <w:pPr>
      <w:tabs>
        <w:tab w:val="center" w:pos="4320"/>
        <w:tab w:val="right" w:pos="8640"/>
      </w:tabs>
    </w:pPr>
  </w:style>
  <w:style w:type="paragraph" w:styleId="Footer">
    <w:name w:val="footer"/>
    <w:basedOn w:val="Normal"/>
    <w:semiHidden/>
    <w:rsid w:val="00C45E13"/>
    <w:pPr>
      <w:tabs>
        <w:tab w:val="center" w:pos="4320"/>
        <w:tab w:val="right" w:pos="8640"/>
      </w:tabs>
    </w:pPr>
  </w:style>
  <w:style w:type="character" w:styleId="PageNumber">
    <w:name w:val="page number"/>
    <w:basedOn w:val="DefaultParagraphFont"/>
    <w:semiHidden/>
    <w:rsid w:val="00C45E13"/>
  </w:style>
  <w:style w:type="paragraph" w:styleId="BalloonText">
    <w:name w:val="Balloon Text"/>
    <w:basedOn w:val="Normal"/>
    <w:link w:val="BalloonTextChar"/>
    <w:uiPriority w:val="99"/>
    <w:semiHidden/>
    <w:unhideWhenUsed/>
    <w:rsid w:val="00FC569E"/>
    <w:rPr>
      <w:rFonts w:ascii="Tahoma" w:hAnsi="Tahoma" w:cs="Tahoma"/>
      <w:sz w:val="16"/>
      <w:szCs w:val="16"/>
    </w:rPr>
  </w:style>
  <w:style w:type="character" w:customStyle="1" w:styleId="BalloonTextChar">
    <w:name w:val="Balloon Text Char"/>
    <w:basedOn w:val="DefaultParagraphFont"/>
    <w:link w:val="BalloonText"/>
    <w:uiPriority w:val="99"/>
    <w:semiHidden/>
    <w:rsid w:val="00FC56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FC569E"/>
    <w:rPr>
      <w:rFonts w:ascii="Tahoma" w:hAnsi="Tahoma" w:cs="Tahoma"/>
      <w:sz w:val="16"/>
      <w:szCs w:val="16"/>
    </w:rPr>
  </w:style>
  <w:style w:type="character" w:customStyle="1" w:styleId="BalloonTextChar">
    <w:name w:val="Balloon Text Char"/>
    <w:basedOn w:val="DefaultParagraphFont"/>
    <w:link w:val="BalloonText"/>
    <w:uiPriority w:val="99"/>
    <w:semiHidden/>
    <w:rsid w:val="00FC56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1087</Characters>
  <Application>Microsoft Office Word</Application>
  <DocSecurity>0</DocSecurity>
  <Lines>21</Lines>
  <Paragraphs>4</Paragraphs>
  <ScaleCrop>false</ScaleCrop>
  <HeadingPairs>
    <vt:vector size="2" baseType="variant">
      <vt:variant>
        <vt:lpstr>Title</vt:lpstr>
      </vt:variant>
      <vt:variant>
        <vt:i4>1</vt:i4>
      </vt:variant>
    </vt:vector>
  </HeadingPairs>
  <TitlesOfParts>
    <vt:vector size="1" baseType="lpstr">
      <vt:lpstr>POLICY OF THE CITY COUNCIL</vt:lpstr>
    </vt:vector>
  </TitlesOfParts>
  <Company>City of Fayetteville</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OF THE CITY COUNCIL</dc:title>
  <dc:creator>Information Systems Help Desk</dc:creator>
  <cp:lastModifiedBy>jane starling</cp:lastModifiedBy>
  <cp:revision>3</cp:revision>
  <cp:lastPrinted>2012-02-06T21:49:00Z</cp:lastPrinted>
  <dcterms:created xsi:type="dcterms:W3CDTF">2012-04-23T19:08:00Z</dcterms:created>
  <dcterms:modified xsi:type="dcterms:W3CDTF">2013-10-22T17:46:00Z</dcterms:modified>
</cp:coreProperties>
</file>