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8B" w:rsidRDefault="00726845" w:rsidP="00E53440">
      <w:pPr>
        <w:pStyle w:val="BodyTextIndent"/>
        <w:ind w:right="810" w:firstLine="720"/>
        <w:jc w:val="left"/>
        <w:rPr>
          <w:b/>
          <w:sz w:val="28"/>
        </w:rPr>
      </w:pPr>
      <w:r>
        <w:rPr>
          <w:sz w:val="28"/>
        </w:rPr>
        <w:t xml:space="preserve">Unless specifically exempted by action of the City Council, all property </w:t>
      </w:r>
      <w:r w:rsidR="00C32615">
        <w:rPr>
          <w:sz w:val="28"/>
        </w:rPr>
        <w:t xml:space="preserve">within </w:t>
      </w:r>
      <w:r w:rsidR="00DD448B">
        <w:rPr>
          <w:sz w:val="28"/>
        </w:rPr>
        <w:t>the City of Fayetteville</w:t>
      </w:r>
      <w:r w:rsidR="00C32615">
        <w:rPr>
          <w:sz w:val="28"/>
        </w:rPr>
        <w:t>’s Municipal Influence Area</w:t>
      </w:r>
      <w:r w:rsidR="00BD655D" w:rsidRPr="00BD655D">
        <w:rPr>
          <w:rStyle w:val="FootnoteReference"/>
          <w:b/>
          <w:sz w:val="28"/>
        </w:rPr>
        <w:footnoteReference w:id="1"/>
      </w:r>
      <w:r w:rsidR="00C32615">
        <w:rPr>
          <w:sz w:val="28"/>
        </w:rPr>
        <w:t xml:space="preserve"> (“MIA”) </w:t>
      </w:r>
      <w:r w:rsidR="007E2359">
        <w:rPr>
          <w:sz w:val="28"/>
        </w:rPr>
        <w:t xml:space="preserve">that meet the statutory requirements for annexation </w:t>
      </w:r>
      <w:r w:rsidR="00C32615">
        <w:rPr>
          <w:sz w:val="28"/>
        </w:rPr>
        <w:t xml:space="preserve">must </w:t>
      </w:r>
      <w:r w:rsidR="00F463F6">
        <w:rPr>
          <w:sz w:val="28"/>
        </w:rPr>
        <w:t xml:space="preserve">be annexed into the </w:t>
      </w:r>
      <w:r w:rsidR="00DD448B">
        <w:rPr>
          <w:sz w:val="28"/>
        </w:rPr>
        <w:t>City</w:t>
      </w:r>
      <w:r w:rsidR="00C32615">
        <w:rPr>
          <w:sz w:val="28"/>
        </w:rPr>
        <w:t xml:space="preserve"> of Fayetteville before water or sewer service will be provided</w:t>
      </w:r>
      <w:r w:rsidR="002D043A">
        <w:rPr>
          <w:sz w:val="28"/>
        </w:rPr>
        <w:t xml:space="preserve"> or expanded</w:t>
      </w:r>
      <w:r w:rsidR="00DD448B">
        <w:rPr>
          <w:sz w:val="28"/>
        </w:rPr>
        <w:t>.</w:t>
      </w:r>
      <w:r w:rsidR="00F463F6">
        <w:rPr>
          <w:sz w:val="28"/>
        </w:rPr>
        <w:t xml:space="preserve">  Further, all property to be served by </w:t>
      </w:r>
      <w:r w:rsidR="00C330AE">
        <w:rPr>
          <w:sz w:val="28"/>
        </w:rPr>
        <w:t>PWC water and/</w:t>
      </w:r>
      <w:r w:rsidR="0023554C">
        <w:rPr>
          <w:sz w:val="28"/>
        </w:rPr>
        <w:t xml:space="preserve">or </w:t>
      </w:r>
      <w:r w:rsidR="00C330AE">
        <w:rPr>
          <w:sz w:val="28"/>
        </w:rPr>
        <w:t>sewer service must be developed consistent with the City’s development regulations in place at the time service is requested.</w:t>
      </w:r>
    </w:p>
    <w:p w:rsidR="00DD448B" w:rsidRDefault="00DD448B">
      <w:pPr>
        <w:pStyle w:val="BodyTextIndent"/>
        <w:ind w:right="810"/>
        <w:rPr>
          <w:sz w:val="28"/>
        </w:rPr>
      </w:pPr>
    </w:p>
    <w:p w:rsidR="00DD448B" w:rsidRDefault="00DD448B" w:rsidP="00E53440">
      <w:pPr>
        <w:pStyle w:val="BodyTextIndent"/>
        <w:ind w:right="810" w:firstLine="720"/>
        <w:jc w:val="left"/>
        <w:rPr>
          <w:sz w:val="28"/>
        </w:rPr>
      </w:pPr>
      <w:r>
        <w:rPr>
          <w:sz w:val="28"/>
        </w:rPr>
        <w:t xml:space="preserve">The requirement </w:t>
      </w:r>
      <w:r w:rsidR="00C32615">
        <w:rPr>
          <w:sz w:val="28"/>
        </w:rPr>
        <w:t>for annexation</w:t>
      </w:r>
      <w:r>
        <w:rPr>
          <w:sz w:val="28"/>
        </w:rPr>
        <w:t xml:space="preserve"> does not apply to</w:t>
      </w:r>
      <w:r w:rsidR="00B572C4">
        <w:rPr>
          <w:sz w:val="28"/>
        </w:rPr>
        <w:t xml:space="preserve"> a</w:t>
      </w:r>
      <w:r>
        <w:rPr>
          <w:sz w:val="28"/>
        </w:rPr>
        <w:t xml:space="preserve"> single-family residential homeowner requesting service </w:t>
      </w:r>
      <w:r w:rsidR="002D043A">
        <w:rPr>
          <w:sz w:val="28"/>
        </w:rPr>
        <w:t xml:space="preserve">from an </w:t>
      </w:r>
      <w:r>
        <w:rPr>
          <w:sz w:val="28"/>
        </w:rPr>
        <w:t>existing water and/or sanitary sewer main</w:t>
      </w:r>
      <w:r w:rsidR="002D043A">
        <w:rPr>
          <w:sz w:val="28"/>
        </w:rPr>
        <w:t xml:space="preserve"> when their lot is</w:t>
      </w:r>
      <w:r>
        <w:rPr>
          <w:sz w:val="28"/>
        </w:rPr>
        <w:t xml:space="preserve"> not contiguous to </w:t>
      </w:r>
      <w:r w:rsidR="00C32615">
        <w:rPr>
          <w:sz w:val="28"/>
        </w:rPr>
        <w:t>a</w:t>
      </w:r>
      <w:r>
        <w:rPr>
          <w:sz w:val="28"/>
        </w:rPr>
        <w:t xml:space="preserve"> corporate boundary of </w:t>
      </w:r>
      <w:r w:rsidR="00C32615">
        <w:rPr>
          <w:sz w:val="28"/>
        </w:rPr>
        <w:t xml:space="preserve">the </w:t>
      </w:r>
      <w:r w:rsidR="00C32615" w:rsidRPr="00C32615">
        <w:rPr>
          <w:sz w:val="28"/>
        </w:rPr>
        <w:t>City of Fayetteville</w:t>
      </w:r>
      <w:r>
        <w:rPr>
          <w:sz w:val="28"/>
        </w:rPr>
        <w:t>.</w:t>
      </w:r>
    </w:p>
    <w:p w:rsidR="00BD655D" w:rsidRDefault="00BD655D" w:rsidP="00BD655D">
      <w:pPr>
        <w:pStyle w:val="BodyTextIndent"/>
        <w:ind w:left="0" w:right="810" w:firstLine="720"/>
        <w:jc w:val="left"/>
        <w:rPr>
          <w:sz w:val="28"/>
        </w:rPr>
      </w:pPr>
    </w:p>
    <w:p w:rsidR="00BD655D" w:rsidRDefault="00BD655D" w:rsidP="00BD655D">
      <w:pPr>
        <w:pStyle w:val="BodyTextIndent"/>
        <w:ind w:left="0" w:right="810" w:firstLine="720"/>
        <w:jc w:val="left"/>
        <w:rPr>
          <w:sz w:val="28"/>
        </w:rPr>
      </w:pPr>
    </w:p>
    <w:sectPr w:rsidR="00BD655D" w:rsidSect="00011FC7">
      <w:headerReference w:type="default" r:id="rId7"/>
      <w:endnotePr>
        <w:numFmt w:val="decimal"/>
      </w:endnotePr>
      <w:pgSz w:w="12240" w:h="15840" w:code="1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A2" w:rsidRDefault="00495AA2">
      <w:pPr>
        <w:spacing w:line="20" w:lineRule="exact"/>
      </w:pPr>
    </w:p>
  </w:endnote>
  <w:endnote w:type="continuationSeparator" w:id="0">
    <w:p w:rsidR="00495AA2" w:rsidRDefault="00495AA2">
      <w:r>
        <w:t xml:space="preserve"> </w:t>
      </w:r>
    </w:p>
  </w:endnote>
  <w:endnote w:type="continuationNotice" w:id="1">
    <w:p w:rsidR="00495AA2" w:rsidRDefault="00495AA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A2" w:rsidRDefault="00495AA2">
      <w:r>
        <w:separator/>
      </w:r>
    </w:p>
  </w:footnote>
  <w:footnote w:type="continuationSeparator" w:id="0">
    <w:p w:rsidR="00495AA2" w:rsidRDefault="00495AA2">
      <w:r>
        <w:continuationSeparator/>
      </w:r>
    </w:p>
  </w:footnote>
  <w:footnote w:id="1">
    <w:p w:rsidR="00BD655D" w:rsidRDefault="00BD655D">
      <w:pPr>
        <w:pStyle w:val="FootnoteText"/>
      </w:pPr>
      <w:r w:rsidRPr="00BD655D">
        <w:rPr>
          <w:rStyle w:val="FootnoteReference"/>
          <w:b/>
        </w:rPr>
        <w:footnoteRef/>
      </w:r>
      <w:r>
        <w:t xml:space="preserve"> </w:t>
      </w:r>
      <w:r>
        <w:rPr>
          <w:rFonts w:ascii="Times New Roman" w:hAnsi="Times New Roman"/>
        </w:rPr>
        <w:t xml:space="preserve">The version of the MIA referenced in this policy is that </w:t>
      </w:r>
      <w:r w:rsidRPr="00BD655D">
        <w:rPr>
          <w:rFonts w:ascii="Times New Roman" w:hAnsi="Times New Roman"/>
        </w:rPr>
        <w:t>established by interlocal agreement with Cumberland County June 9, 2008 as amended by the City’s Annexation Agreement with the Town of Hope Mills</w:t>
      </w:r>
      <w:r>
        <w:rPr>
          <w:rFonts w:ascii="Times New Roman" w:hAnsi="Times New Roman"/>
        </w:rPr>
        <w:t xml:space="preserve"> adopted </w:t>
      </w:r>
      <w:r w:rsidR="00843272">
        <w:rPr>
          <w:rFonts w:ascii="Times New Roman" w:hAnsi="Times New Roman"/>
        </w:rPr>
        <w:t>August 23,2010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V w:val="single" w:sz="18" w:space="0" w:color="auto"/>
      </w:tblBorders>
      <w:tblLayout w:type="fixed"/>
      <w:tblLook w:val="0000"/>
    </w:tblPr>
    <w:tblGrid>
      <w:gridCol w:w="5040"/>
      <w:gridCol w:w="1170"/>
      <w:gridCol w:w="1350"/>
      <w:gridCol w:w="1260"/>
      <w:gridCol w:w="1350"/>
    </w:tblGrid>
    <w:tr w:rsidR="007E2359">
      <w:tc>
        <w:tcPr>
          <w:tcW w:w="5040" w:type="dxa"/>
          <w:shd w:val="pct10" w:color="auto" w:fill="auto"/>
        </w:tcPr>
        <w:p w:rsidR="007E2359" w:rsidRDefault="007E2359">
          <w:pPr>
            <w:suppressAutoHyphens/>
            <w:ind w:hanging="18"/>
            <w:jc w:val="both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SUBJECT – PUBLIC WORKS COMMISSION</w:t>
          </w:r>
        </w:p>
        <w:p w:rsidR="007E2359" w:rsidRDefault="007E2359">
          <w:pPr>
            <w:suppressAutoHyphens/>
            <w:ind w:left="540"/>
            <w:rPr>
              <w:rFonts w:ascii="Times New Roman" w:hAnsi="Times New Roman"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Provision of Water and Sewer to Municipal Influence Area</w:t>
          </w:r>
        </w:p>
      </w:tc>
      <w:tc>
        <w:tcPr>
          <w:tcW w:w="1170" w:type="dxa"/>
          <w:shd w:val="pct10" w:color="auto" w:fill="auto"/>
        </w:tcPr>
        <w:p w:rsidR="007E2359" w:rsidRDefault="007E2359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Number</w:t>
          </w:r>
        </w:p>
        <w:p w:rsidR="007E2359" w:rsidRDefault="007E2359">
          <w:pPr>
            <w:suppressAutoHyphens/>
            <w:jc w:val="center"/>
            <w:rPr>
              <w:rFonts w:ascii="Times New Roman" w:hAnsi="Times New Roman"/>
              <w:spacing w:val="-3"/>
            </w:rPr>
          </w:pPr>
          <w:r>
            <w:rPr>
              <w:rFonts w:ascii="Times New Roman" w:hAnsi="Times New Roman"/>
              <w:b/>
              <w:spacing w:val="-3"/>
              <w:sz w:val="40"/>
            </w:rPr>
            <w:t>150.2</w:t>
          </w:r>
        </w:p>
      </w:tc>
      <w:tc>
        <w:tcPr>
          <w:tcW w:w="1350" w:type="dxa"/>
          <w:shd w:val="pct10" w:color="auto" w:fill="auto"/>
        </w:tcPr>
        <w:p w:rsidR="007E2359" w:rsidRDefault="007E2359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Revised</w:t>
          </w:r>
        </w:p>
        <w:p w:rsidR="007E2359" w:rsidRDefault="007E5B93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4/10/06</w:t>
          </w:r>
        </w:p>
        <w:p w:rsidR="007E5B93" w:rsidRDefault="007E5B93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8/23/10</w:t>
          </w:r>
        </w:p>
        <w:p w:rsidR="007E2359" w:rsidRDefault="007E5B93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2/13/12</w:t>
          </w:r>
        </w:p>
      </w:tc>
      <w:tc>
        <w:tcPr>
          <w:tcW w:w="1260" w:type="dxa"/>
          <w:shd w:val="pct10" w:color="auto" w:fill="auto"/>
        </w:tcPr>
        <w:p w:rsidR="007E2359" w:rsidRDefault="007E2359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Effective</w:t>
          </w:r>
        </w:p>
        <w:p w:rsidR="007E2359" w:rsidRDefault="007E2359">
          <w:pPr>
            <w:suppressAutoHyphens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>Date</w:t>
          </w:r>
        </w:p>
        <w:p w:rsidR="007E2359" w:rsidRDefault="007E5B93">
          <w:pPr>
            <w:suppressAutoHyphens/>
            <w:jc w:val="center"/>
            <w:rPr>
              <w:rFonts w:ascii="Times New Roman" w:hAnsi="Times New Roman"/>
              <w:spacing w:val="-3"/>
            </w:rPr>
          </w:pPr>
          <w:r>
            <w:rPr>
              <w:rFonts w:ascii="Times New Roman" w:hAnsi="Times New Roman"/>
              <w:spacing w:val="-3"/>
            </w:rPr>
            <w:t>11/17/03</w:t>
          </w:r>
        </w:p>
      </w:tc>
      <w:tc>
        <w:tcPr>
          <w:tcW w:w="1350" w:type="dxa"/>
          <w:shd w:val="pct10" w:color="auto" w:fill="auto"/>
        </w:tcPr>
        <w:p w:rsidR="007E2359" w:rsidRDefault="007E2359">
          <w:pPr>
            <w:suppressAutoHyphens/>
            <w:jc w:val="both"/>
            <w:rPr>
              <w:rFonts w:ascii="Times New Roman" w:hAnsi="Times New Roman"/>
              <w:spacing w:val="-3"/>
            </w:rPr>
          </w:pPr>
          <w:r>
            <w:rPr>
              <w:rFonts w:ascii="Times New Roman" w:hAnsi="Times New Roman"/>
              <w:b/>
              <w:spacing w:val="-3"/>
            </w:rPr>
            <w:t xml:space="preserve">Page </w:t>
          </w:r>
          <w:r w:rsidR="00CF69FF">
            <w:rPr>
              <w:rStyle w:val="PageNumber"/>
              <w:rFonts w:ascii="Times New Roman" w:hAnsi="Times New Roman"/>
              <w:b/>
            </w:rPr>
            <w:fldChar w:fldCharType="begin"/>
          </w:r>
          <w:r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CF69FF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E5B9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CF69FF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Fonts w:ascii="Times New Roman" w:hAnsi="Times New Roman"/>
              <w:b/>
              <w:spacing w:val="-3"/>
            </w:rPr>
            <w:t xml:space="preserve"> of 1</w:t>
          </w:r>
        </w:p>
      </w:tc>
    </w:tr>
  </w:tbl>
  <w:p w:rsidR="007E2359" w:rsidRDefault="007E2359">
    <w:pPr>
      <w:rPr>
        <w:rFonts w:ascii="Times New Roman" w:hAnsi="Times New Roman"/>
      </w:rPr>
    </w:pPr>
  </w:p>
  <w:p w:rsidR="007E2359" w:rsidRDefault="007E2359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stylePaneFormatFilter w:val="3F01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</w:compat>
  <w:rsids>
    <w:rsidRoot w:val="00D03875"/>
    <w:rsid w:val="00011FC7"/>
    <w:rsid w:val="00016A77"/>
    <w:rsid w:val="000A4255"/>
    <w:rsid w:val="0023554C"/>
    <w:rsid w:val="002D043A"/>
    <w:rsid w:val="003433DA"/>
    <w:rsid w:val="003E0118"/>
    <w:rsid w:val="00415B03"/>
    <w:rsid w:val="00495AA2"/>
    <w:rsid w:val="004C6839"/>
    <w:rsid w:val="004D27AE"/>
    <w:rsid w:val="00552904"/>
    <w:rsid w:val="0068004D"/>
    <w:rsid w:val="006B0940"/>
    <w:rsid w:val="006E549D"/>
    <w:rsid w:val="00726845"/>
    <w:rsid w:val="00734FBF"/>
    <w:rsid w:val="007E2359"/>
    <w:rsid w:val="007E5B93"/>
    <w:rsid w:val="00843272"/>
    <w:rsid w:val="0084579D"/>
    <w:rsid w:val="00A76CAD"/>
    <w:rsid w:val="00AE1D1E"/>
    <w:rsid w:val="00B16986"/>
    <w:rsid w:val="00B315A2"/>
    <w:rsid w:val="00B572C4"/>
    <w:rsid w:val="00BD655D"/>
    <w:rsid w:val="00C32615"/>
    <w:rsid w:val="00C330AE"/>
    <w:rsid w:val="00C60D43"/>
    <w:rsid w:val="00C73EB2"/>
    <w:rsid w:val="00CF69FF"/>
    <w:rsid w:val="00D03875"/>
    <w:rsid w:val="00D06945"/>
    <w:rsid w:val="00D279D0"/>
    <w:rsid w:val="00DB5FE2"/>
    <w:rsid w:val="00DD448B"/>
    <w:rsid w:val="00E53440"/>
    <w:rsid w:val="00F463F6"/>
    <w:rsid w:val="00F7497A"/>
    <w:rsid w:val="00F9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9FF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CF69FF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rsid w:val="00CF69FF"/>
    <w:pPr>
      <w:keepNext/>
      <w:tabs>
        <w:tab w:val="center" w:pos="5400"/>
      </w:tabs>
      <w:suppressAutoHyphens/>
      <w:ind w:left="720" w:right="720"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F69FF"/>
  </w:style>
  <w:style w:type="character" w:styleId="EndnoteReference">
    <w:name w:val="endnote reference"/>
    <w:semiHidden/>
    <w:rsid w:val="00CF69FF"/>
    <w:rPr>
      <w:vertAlign w:val="superscript"/>
    </w:rPr>
  </w:style>
  <w:style w:type="paragraph" w:styleId="FootnoteText">
    <w:name w:val="footnote text"/>
    <w:basedOn w:val="Normal"/>
    <w:semiHidden/>
    <w:rsid w:val="00CF69FF"/>
  </w:style>
  <w:style w:type="character" w:styleId="FootnoteReference">
    <w:name w:val="footnote reference"/>
    <w:semiHidden/>
    <w:rsid w:val="00CF69FF"/>
    <w:rPr>
      <w:vertAlign w:val="superscript"/>
    </w:rPr>
  </w:style>
  <w:style w:type="paragraph" w:styleId="TOC1">
    <w:name w:val="toc 1"/>
    <w:basedOn w:val="Normal"/>
    <w:next w:val="Normal"/>
    <w:semiHidden/>
    <w:rsid w:val="00CF69F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F69F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F69F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F69F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F69F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F69F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F69F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F69F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F69F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F69F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F69F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69F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69FF"/>
  </w:style>
  <w:style w:type="character" w:customStyle="1" w:styleId="EquationCaption">
    <w:name w:val="_Equation Caption"/>
    <w:rsid w:val="00CF69FF"/>
  </w:style>
  <w:style w:type="paragraph" w:styleId="Header">
    <w:name w:val="header"/>
    <w:basedOn w:val="Normal"/>
    <w:rsid w:val="00CF69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9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9FF"/>
  </w:style>
  <w:style w:type="paragraph" w:styleId="BodyText">
    <w:name w:val="Body Text"/>
    <w:basedOn w:val="Normal"/>
    <w:rsid w:val="00CF69FF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</w:rPr>
  </w:style>
  <w:style w:type="paragraph" w:styleId="BodyTextIndent">
    <w:name w:val="Body Text Indent"/>
    <w:basedOn w:val="Normal"/>
    <w:rsid w:val="00CF69FF"/>
    <w:pPr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016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ind w:left="720" w:right="720"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016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6C23-0B6A-4E7C-922D-C2142A7A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OF THE CITY COUNCIL REGARDING</vt:lpstr>
    </vt:vector>
  </TitlesOfParts>
  <Company>City of Fayetteville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OF THE CITY COUNCIL REGARDING</dc:title>
  <dc:creator>Information Systems Help Desk</dc:creator>
  <cp:lastModifiedBy>jane starling</cp:lastModifiedBy>
  <cp:revision>2</cp:revision>
  <cp:lastPrinted>2011-07-26T20:46:00Z</cp:lastPrinted>
  <dcterms:created xsi:type="dcterms:W3CDTF">2012-04-23T20:19:00Z</dcterms:created>
  <dcterms:modified xsi:type="dcterms:W3CDTF">2012-04-23T20:19:00Z</dcterms:modified>
</cp:coreProperties>
</file>